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6:45 pm Tuesday, January 27,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 Interview candidate –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